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EF9E" w14:textId="17D040FD" w:rsid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Poppins" w:hAnsi="Poppins" w:cs="Poppins"/>
          <w:b/>
          <w:bCs/>
          <w:color w:val="000000"/>
          <w:sz w:val="36"/>
          <w:szCs w:val="36"/>
          <w:shd w:val="clear" w:color="auto" w:fill="FFFFFF"/>
        </w:rPr>
      </w:pPr>
      <w:r>
        <w:br/>
      </w:r>
      <w:r>
        <w:rPr>
          <w:rFonts w:ascii="Poppins" w:hAnsi="Poppins" w:cs="Poppins"/>
          <w:b/>
          <w:bCs/>
          <w:color w:val="000000"/>
          <w:sz w:val="36"/>
          <w:szCs w:val="36"/>
          <w:shd w:val="clear" w:color="auto" w:fill="FFFFFF"/>
        </w:rPr>
        <w:t>Grant for Media Organizations to enhance Pre-publication Fact-checking Capabilities</w:t>
      </w:r>
    </w:p>
    <w:p w14:paraId="2B59F36B" w14:textId="77777777" w:rsid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Poppins" w:hAnsi="Poppins" w:cs="Poppins"/>
          <w:b/>
          <w:bCs/>
          <w:color w:val="000000"/>
          <w:sz w:val="36"/>
          <w:szCs w:val="36"/>
          <w:shd w:val="clear" w:color="auto" w:fill="FFFFFF"/>
        </w:rPr>
      </w:pPr>
    </w:p>
    <w:p w14:paraId="48908448" w14:textId="0F750D9D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sz w:val="27"/>
          <w:szCs w:val="27"/>
          <w:lang w:eastAsia="en-GB"/>
        </w:rPr>
      </w:pPr>
      <w:r w:rsidRPr="00105B40">
        <w:rPr>
          <w:rFonts w:ascii="Poppins" w:eastAsia="Times New Roman" w:hAnsi="Poppins" w:cs="Poppins"/>
          <w:sz w:val="27"/>
          <w:szCs w:val="27"/>
          <w:lang w:eastAsia="en-GB"/>
        </w:rPr>
        <w:t>The Free Press Unlimited, in collaboration with Arab Fact-Checkers Network (AFCN) from Arab Reporters for Investigative Journalism (ARIJ), is implementing a programme called “Core Support for Independent Media in the Southern Neighbourhood” funded by the European Union.</w:t>
      </w:r>
    </w:p>
    <w:p w14:paraId="6B2F92BF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The main objective of this programme is to provide comprehensive bespoke core support to pluralism, independence, and resilience of the media sector in the Southern Neighbourhood to withstand existing threats.</w:t>
      </w:r>
    </w:p>
    <w:p w14:paraId="1B1DAC5D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The grant is designed to support media organisations in enhancing their pre-publication fact-checking capabilities, thereby promoting accountable and trusted journalism in the region.</w:t>
      </w:r>
    </w:p>
    <w:p w14:paraId="5C6A32BE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outlineLvl w:val="4"/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  <w:t>Aims</w:t>
      </w:r>
    </w:p>
    <w:p w14:paraId="71297D62" w14:textId="77777777" w:rsidR="00105B40" w:rsidRPr="00105B40" w:rsidRDefault="00105B40" w:rsidP="00105B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The overall strategy of the programme aims to:</w:t>
      </w:r>
    </w:p>
    <w:p w14:paraId="5FBC1B0D" w14:textId="77777777" w:rsidR="00105B40" w:rsidRPr="00105B40" w:rsidRDefault="00105B40" w:rsidP="00105B4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Improve sector capacities to safely produce and share more high-quality content within and outside the Southern Neighbourhood.</w:t>
      </w:r>
    </w:p>
    <w:p w14:paraId="4E66A4B4" w14:textId="77777777" w:rsidR="00105B40" w:rsidRPr="00105B40" w:rsidRDefault="00105B40" w:rsidP="00105B4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Improve business viability and resilience among the independent media outlets in the Southern Neighbourhood.</w:t>
      </w:r>
    </w:p>
    <w:p w14:paraId="52C96535" w14:textId="77777777" w:rsidR="00105B40" w:rsidRPr="00105B40" w:rsidRDefault="00105B40" w:rsidP="00105B40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Strengthen existing regional networks to more efficiently convene communities of practice in the Southern Neighbourhood.</w:t>
      </w:r>
    </w:p>
    <w:p w14:paraId="133C779A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outlineLvl w:val="4"/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  <w:t>Areas of Focus</w:t>
      </w:r>
    </w:p>
    <w:p w14:paraId="11C4FE27" w14:textId="77777777" w:rsidR="00105B40" w:rsidRPr="00105B40" w:rsidRDefault="00105B40" w:rsidP="00105B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7"/>
          <w:szCs w:val="27"/>
          <w:lang w:eastAsia="en-GB"/>
        </w:rPr>
        <w:t>Area 1 - Secondment of a fact-checker</w:t>
      </w:r>
    </w:p>
    <w:p w14:paraId="4D56E247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The grant will facilitate the integration of pre-publication fact-checking procedures into the editorial processes.</w:t>
      </w:r>
    </w:p>
    <w:p w14:paraId="19339BE8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An Arab fact-checker will be selected from the MENA region (based on the location of the organisation) through a pre-selection process conducted by the AFCN team and experts, to work with the organization on-site at their office and online.</w:t>
      </w:r>
    </w:p>
    <w:p w14:paraId="6BF0CC26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ARIJ/AFCN will provide coaching and mentorship to ensure a smooth and productive collaboration between the media organization and the seconded fact-checker.</w:t>
      </w:r>
    </w:p>
    <w:p w14:paraId="0FD4C8D7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The process will be executed through the ARIJ - AFCN Marketplace, promoting cross-functional opportunities between media organizations and fact-checkers.</w:t>
      </w:r>
    </w:p>
    <w:p w14:paraId="71299D78" w14:textId="77777777" w:rsidR="00105B40" w:rsidRPr="00105B40" w:rsidRDefault="00105B40" w:rsidP="00105B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7"/>
          <w:szCs w:val="27"/>
          <w:lang w:eastAsia="en-GB"/>
        </w:rPr>
        <w:t>Area 2 - Capacity Building</w:t>
      </w:r>
    </w:p>
    <w:p w14:paraId="648AFBBA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Media organizations will present proposals for capacity-building initiatives focused on combating misinformation and enhancing fact-checking skills.</w:t>
      </w:r>
    </w:p>
    <w:p w14:paraId="42E80794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lastRenderedPageBreak/>
        <w:t>ARIJ/AFCN will offer three spots for interested organisations to participate in its fact-checking workshop, held in conjunction with the 16th Annual Forum. In addition, ARIJ/AFCN will cover registration fees for media organizations interested in sending representatives to attend ARIJ 16th annual forum in Amman, Jordan between Dec 1 and 3.</w:t>
      </w:r>
    </w:p>
    <w:p w14:paraId="5A77A004" w14:textId="77777777" w:rsidR="00105B40" w:rsidRPr="00105B40" w:rsidRDefault="00105B40" w:rsidP="00105B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7"/>
          <w:szCs w:val="27"/>
          <w:lang w:eastAsia="en-GB"/>
        </w:rPr>
        <w:t>Area 3 - Operational Support</w:t>
      </w:r>
    </w:p>
    <w:p w14:paraId="3A429ED5" w14:textId="77777777" w:rsidR="00105B40" w:rsidRPr="00105B40" w:rsidRDefault="00105B40" w:rsidP="00105B4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This area focuses on supporting the operational costs, fostering a mindset that recognizes the importance of fact-checking before publication. Operational costs may include travel and logistics to approved events, tools and subscriptions, and editorial support for members/departments working with the seconded fact-checker.</w:t>
      </w:r>
    </w:p>
    <w:p w14:paraId="28D42201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outlineLvl w:val="4"/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  <w:t>Funding Information</w:t>
      </w:r>
    </w:p>
    <w:p w14:paraId="6D2944EC" w14:textId="77777777" w:rsidR="00105B40" w:rsidRPr="00105B40" w:rsidRDefault="00105B40" w:rsidP="00105B4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Within the framework of this programme and on the occasion of the International Day for Universal Access to Information 2023, a grant of 20,000 EURO maximum will be available for each media outlet who wins the tender.</w:t>
      </w:r>
    </w:p>
    <w:p w14:paraId="6345F34A" w14:textId="77777777" w:rsidR="00105B40" w:rsidRPr="00105B40" w:rsidRDefault="00105B40" w:rsidP="00105B40">
      <w:pPr>
        <w:shd w:val="clear" w:color="auto" w:fill="FFFFFF"/>
        <w:spacing w:after="0" w:line="240" w:lineRule="auto"/>
        <w:textAlignment w:val="baseline"/>
        <w:outlineLvl w:val="4"/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</w:pPr>
      <w:r w:rsidRPr="00105B40">
        <w:rPr>
          <w:rFonts w:ascii="var(--fontFamily)" w:eastAsia="Times New Roman" w:hAnsi="var(--fontFamily)" w:cs="Poppins"/>
          <w:b/>
          <w:bCs/>
          <w:sz w:val="20"/>
          <w:szCs w:val="20"/>
          <w:lang w:eastAsia="en-GB"/>
        </w:rPr>
        <w:t>Geographic Region</w:t>
      </w:r>
    </w:p>
    <w:p w14:paraId="0D934AE8" w14:textId="77777777" w:rsidR="00105B40" w:rsidRPr="00105B40" w:rsidRDefault="00105B40" w:rsidP="00105B4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var(--fontFamily)" w:eastAsia="Times New Roman" w:hAnsi="var(--fontFamily)" w:cs="Poppins"/>
          <w:sz w:val="27"/>
          <w:szCs w:val="27"/>
          <w:lang w:eastAsia="en-GB"/>
        </w:rPr>
      </w:pPr>
      <w:r w:rsidRPr="00105B40">
        <w:rPr>
          <w:rFonts w:ascii="var(--fontFamily)" w:eastAsia="Times New Roman" w:hAnsi="var(--fontFamily)" w:cs="Poppins"/>
          <w:sz w:val="27"/>
          <w:szCs w:val="27"/>
          <w:lang w:eastAsia="en-GB"/>
        </w:rPr>
        <w:t>This grant will be awarded to three media organisations operating in the MENA region, specifically targeting the following Arab countries: Algeria, Tunisia, Libya, Lebanon, Palestine, Syria, Jordan, and Egypt. </w:t>
      </w:r>
    </w:p>
    <w:p w14:paraId="28456CB4" w14:textId="77777777" w:rsidR="00105B40" w:rsidRDefault="00105B40"/>
    <w:sectPr w:rsidR="0010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var(--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6E67"/>
    <w:multiLevelType w:val="multilevel"/>
    <w:tmpl w:val="682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D125F"/>
    <w:multiLevelType w:val="multilevel"/>
    <w:tmpl w:val="0F6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800BE"/>
    <w:multiLevelType w:val="multilevel"/>
    <w:tmpl w:val="5CC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B5641"/>
    <w:multiLevelType w:val="multilevel"/>
    <w:tmpl w:val="897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40"/>
    <w:rsid w:val="001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33E7"/>
  <w15:chartTrackingRefBased/>
  <w15:docId w15:val="{D9407369-1569-47DE-8C30-3F99C8B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5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5B4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-3">
    <w:name w:val="p-3"/>
    <w:basedOn w:val="Normal"/>
    <w:rsid w:val="001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2023-10-03T08:06:00Z</dcterms:created>
  <dcterms:modified xsi:type="dcterms:W3CDTF">2023-10-03T08:07:00Z</dcterms:modified>
</cp:coreProperties>
</file>